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8B3C3" w14:textId="391A93B9" w:rsidR="00011F91" w:rsidRPr="005B59C5" w:rsidRDefault="00955F52" w:rsidP="00955F52">
      <w:pPr>
        <w:rPr>
          <w:sz w:val="16"/>
          <w:szCs w:val="16"/>
        </w:rPr>
      </w:pPr>
      <w:r w:rsidRPr="005B59C5">
        <w:rPr>
          <w:noProof/>
          <w:sz w:val="16"/>
          <w:szCs w:val="16"/>
        </w:rPr>
        <w:drawing>
          <wp:anchor distT="0" distB="0" distL="114300" distR="114300" simplePos="0" relativeHeight="251658240" behindDoc="0" locked="0" layoutInCell="1" allowOverlap="1" wp14:anchorId="4D5CC64E" wp14:editId="06E79664">
            <wp:simplePos x="0" y="0"/>
            <wp:positionH relativeFrom="margin">
              <wp:align>center</wp:align>
            </wp:positionH>
            <wp:positionV relativeFrom="paragraph">
              <wp:posOffset>85725</wp:posOffset>
            </wp:positionV>
            <wp:extent cx="4752975" cy="771525"/>
            <wp:effectExtent l="0" t="0" r="9525" b="952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se the age ny.png"/>
                    <pic:cNvPicPr/>
                  </pic:nvPicPr>
                  <pic:blipFill rotWithShape="1">
                    <a:blip r:embed="rId8">
                      <a:extLst>
                        <a:ext uri="{28A0092B-C50C-407E-A947-70E740481C1C}">
                          <a14:useLocalDpi xmlns:a14="http://schemas.microsoft.com/office/drawing/2010/main" val="0"/>
                        </a:ext>
                      </a:extLst>
                    </a:blip>
                    <a:srcRect t="27490" b="28333"/>
                    <a:stretch/>
                  </pic:blipFill>
                  <pic:spPr bwMode="auto">
                    <a:xfrm>
                      <a:off x="0" y="0"/>
                      <a:ext cx="475297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9C5" w:rsidRPr="005B59C5">
        <w:rPr>
          <w:sz w:val="16"/>
          <w:szCs w:val="16"/>
        </w:rPr>
        <w:t>Rev. July 2020</w:t>
      </w:r>
    </w:p>
    <w:p w14:paraId="605096D4" w14:textId="77777777" w:rsidR="00011F91" w:rsidRDefault="00011F91" w:rsidP="00955F52"/>
    <w:p w14:paraId="20AD0841" w14:textId="77777777" w:rsidR="00011F91" w:rsidRDefault="00011F91" w:rsidP="00955F52"/>
    <w:p w14:paraId="5A26D380" w14:textId="77777777" w:rsidR="00011F91" w:rsidRDefault="00011F91" w:rsidP="00955F52"/>
    <w:p w14:paraId="250C3238" w14:textId="77777777" w:rsidR="00011F91" w:rsidRDefault="00011F91" w:rsidP="00955F52"/>
    <w:p w14:paraId="3F3D6D43" w14:textId="390AA39B" w:rsidR="00955F52" w:rsidRDefault="001C07F2" w:rsidP="00955F52">
      <w:r w:rsidRPr="00955F52">
        <w:t xml:space="preserve">On April 10, 2017, Governor Cuomo signed into law “Raise the Age” legislation that was included as part of the State Budget. It can be found in A-3009c/S-2009c Part WWW. </w:t>
      </w:r>
      <w:r w:rsidR="005B59C5">
        <w:t>Amendments to provisions controlling removal of cases and post-disposition incarceration of youth were codified in 2019</w:t>
      </w:r>
      <w:r w:rsidR="009C38F6">
        <w:rPr>
          <w:rStyle w:val="FootnoteReference"/>
        </w:rPr>
        <w:footnoteReference w:id="1"/>
      </w:r>
      <w:r w:rsidR="005B59C5">
        <w:t xml:space="preserve"> and 2020</w:t>
      </w:r>
      <w:r w:rsidR="00604862">
        <w:rPr>
          <w:rStyle w:val="FootnoteReference"/>
        </w:rPr>
        <w:footnoteReference w:id="2"/>
      </w:r>
      <w:r w:rsidR="005B59C5">
        <w:t xml:space="preserve"> and are reflected below.</w:t>
      </w:r>
      <w:r w:rsidR="00604862">
        <w:t xml:space="preserve"> </w:t>
      </w:r>
    </w:p>
    <w:p w14:paraId="39718043" w14:textId="77777777" w:rsidR="00955F52" w:rsidRPr="00955F52" w:rsidRDefault="00955F52" w:rsidP="00955F52"/>
    <w:p w14:paraId="1B445C59" w14:textId="5DC23233" w:rsidR="00955F52" w:rsidRPr="00955F52" w:rsidRDefault="001C07F2" w:rsidP="00955F52">
      <w:pPr>
        <w:jc w:val="center"/>
        <w:rPr>
          <w:b/>
          <w:bCs/>
          <w:u w:val="single"/>
        </w:rPr>
      </w:pPr>
      <w:r w:rsidRPr="00955F52">
        <w:rPr>
          <w:b/>
          <w:bCs/>
          <w:u w:val="single"/>
        </w:rPr>
        <w:t>KEY COMPONENTS OF THE LEGISLATION</w:t>
      </w:r>
      <w:r w:rsidR="00FB51AF">
        <w:rPr>
          <w:b/>
          <w:bCs/>
          <w:u w:val="single"/>
        </w:rPr>
        <w:t xml:space="preserve"> </w:t>
      </w:r>
      <w:r w:rsidR="00EC4F56">
        <w:rPr>
          <w:b/>
          <w:bCs/>
          <w:u w:val="single"/>
        </w:rPr>
        <w:t>&amp; SUBSEQUENT AMENDMENTS</w:t>
      </w:r>
    </w:p>
    <w:p w14:paraId="3D0833D3" w14:textId="77777777" w:rsidR="00955F52" w:rsidRPr="00955F52" w:rsidRDefault="00955F52" w:rsidP="00955F52"/>
    <w:p w14:paraId="00000002" w14:textId="3B4D073B" w:rsidR="00810153" w:rsidRPr="0074689D" w:rsidRDefault="001C07F2" w:rsidP="00955F52">
      <w:r w:rsidRPr="0074689D">
        <w:t xml:space="preserve">The presumptive age of juvenile accountability </w:t>
      </w:r>
      <w:r w:rsidR="005B59C5" w:rsidRPr="0074689D">
        <w:t>wa</w:t>
      </w:r>
      <w:r w:rsidRPr="0074689D">
        <w:t>s raised for 16</w:t>
      </w:r>
      <w:r w:rsidR="005B59C5" w:rsidRPr="0074689D">
        <w:t>-</w:t>
      </w:r>
      <w:r w:rsidRPr="0074689D">
        <w:t>year</w:t>
      </w:r>
      <w:r w:rsidR="005B59C5" w:rsidRPr="0074689D">
        <w:t>-</w:t>
      </w:r>
      <w:r w:rsidRPr="0074689D">
        <w:t xml:space="preserve">olds </w:t>
      </w:r>
      <w:r w:rsidR="005B59C5" w:rsidRPr="0074689D">
        <w:t>on</w:t>
      </w:r>
      <w:r w:rsidRPr="0074689D">
        <w:t xml:space="preserve"> 10/1/18 and for 17</w:t>
      </w:r>
      <w:r w:rsidR="005B59C5" w:rsidRPr="0074689D">
        <w:t>-</w:t>
      </w:r>
      <w:r w:rsidRPr="0074689D">
        <w:t>year</w:t>
      </w:r>
      <w:r w:rsidR="005B59C5" w:rsidRPr="0074689D">
        <w:t>-</w:t>
      </w:r>
      <w:r w:rsidRPr="0074689D">
        <w:t xml:space="preserve">olds </w:t>
      </w:r>
      <w:r w:rsidR="005B59C5" w:rsidRPr="0074689D">
        <w:t>on</w:t>
      </w:r>
      <w:r w:rsidRPr="0074689D">
        <w:t xml:space="preserve"> 10/1/19. </w:t>
      </w:r>
      <w:r w:rsidR="005B59C5" w:rsidRPr="0074689D">
        <w:t xml:space="preserve"> </w:t>
      </w:r>
    </w:p>
    <w:p w14:paraId="193441B3" w14:textId="77777777" w:rsidR="00955F52" w:rsidRPr="00955F52" w:rsidRDefault="00955F52" w:rsidP="00955F52"/>
    <w:p w14:paraId="00000003" w14:textId="655A7F2F" w:rsidR="00810153" w:rsidRDefault="001C07F2" w:rsidP="00955F52">
      <w:r w:rsidRPr="00955F52">
        <w:t>The law chang</w:t>
      </w:r>
      <w:r w:rsidR="005B59C5">
        <w:t>ed</w:t>
      </w:r>
      <w:r w:rsidRPr="00955F52">
        <w:t xml:space="preserve"> cases for 16</w:t>
      </w:r>
      <w:r w:rsidR="005B59C5">
        <w:t xml:space="preserve">- and </w:t>
      </w:r>
      <w:r w:rsidRPr="00955F52">
        <w:t>17</w:t>
      </w:r>
      <w:r w:rsidR="005B59C5">
        <w:t>-</w:t>
      </w:r>
      <w:r w:rsidRPr="00955F52">
        <w:t>year</w:t>
      </w:r>
      <w:r w:rsidR="005B59C5">
        <w:t>-</w:t>
      </w:r>
      <w:r w:rsidRPr="00955F52">
        <w:t>olds in the following</w:t>
      </w:r>
      <w:r w:rsidR="00955F52" w:rsidRPr="00955F52">
        <w:t xml:space="preserve"> </w:t>
      </w:r>
      <w:r w:rsidRPr="00955F52">
        <w:t xml:space="preserve">ways: </w:t>
      </w:r>
    </w:p>
    <w:p w14:paraId="09078358" w14:textId="77777777" w:rsidR="00955F52" w:rsidRDefault="00955F52" w:rsidP="00955F52"/>
    <w:p w14:paraId="00000004" w14:textId="00466A6A" w:rsidR="00810153" w:rsidRPr="00955F52" w:rsidRDefault="001C07F2" w:rsidP="00955F52">
      <w:pPr>
        <w:jc w:val="center"/>
        <w:rPr>
          <w:b/>
          <w:bCs/>
          <w:u w:val="single"/>
        </w:rPr>
      </w:pPr>
      <w:r w:rsidRPr="00955F52">
        <w:rPr>
          <w:b/>
          <w:bCs/>
          <w:u w:val="single"/>
        </w:rPr>
        <w:t>Parental</w:t>
      </w:r>
      <w:r w:rsidR="00955F52" w:rsidRPr="00955F52">
        <w:rPr>
          <w:b/>
          <w:bCs/>
          <w:u w:val="single"/>
        </w:rPr>
        <w:t xml:space="preserve"> </w:t>
      </w:r>
      <w:r w:rsidRPr="00955F52">
        <w:rPr>
          <w:b/>
          <w:bCs/>
          <w:u w:val="single"/>
        </w:rPr>
        <w:t>Notification</w:t>
      </w:r>
    </w:p>
    <w:p w14:paraId="2C0A38E9" w14:textId="77777777" w:rsidR="00011F91" w:rsidRDefault="00011F91" w:rsidP="00011F91"/>
    <w:p w14:paraId="2CBC7B80" w14:textId="77777777" w:rsidR="00011F91" w:rsidRDefault="001C07F2" w:rsidP="00955F52">
      <w:pPr>
        <w:pStyle w:val="ListParagraph"/>
        <w:numPr>
          <w:ilvl w:val="0"/>
          <w:numId w:val="2"/>
        </w:numPr>
      </w:pPr>
      <w:r w:rsidRPr="00955F52">
        <w:t xml:space="preserve">Parents must be notified when their children are arrested. </w:t>
      </w:r>
    </w:p>
    <w:p w14:paraId="00000006" w14:textId="6299436C" w:rsidR="00810153" w:rsidRDefault="001C07F2" w:rsidP="00955F52">
      <w:pPr>
        <w:pStyle w:val="ListParagraph"/>
        <w:numPr>
          <w:ilvl w:val="0"/>
          <w:numId w:val="2"/>
        </w:numPr>
      </w:pPr>
      <w:r w:rsidRPr="00955F52">
        <w:t xml:space="preserve">Questioning of youth must take place in age-appropriate settings, with parental involvement (including with regards to waiving Miranda rights), and for developmentally appropriate lengths of time. </w:t>
      </w:r>
    </w:p>
    <w:p w14:paraId="7BC255C7" w14:textId="77777777" w:rsidR="00955F52" w:rsidRPr="00955F52" w:rsidRDefault="00955F52" w:rsidP="00955F52"/>
    <w:p w14:paraId="6416021F" w14:textId="0A418413" w:rsidR="00955F52" w:rsidRPr="00955F52" w:rsidRDefault="001C07F2" w:rsidP="00955F52">
      <w:pPr>
        <w:jc w:val="center"/>
        <w:rPr>
          <w:b/>
          <w:bCs/>
          <w:u w:val="single"/>
        </w:rPr>
      </w:pPr>
      <w:r w:rsidRPr="00955F52">
        <w:rPr>
          <w:b/>
          <w:bCs/>
          <w:u w:val="single"/>
        </w:rPr>
        <w:t>Court Processing</w:t>
      </w:r>
    </w:p>
    <w:p w14:paraId="5DDBF709" w14:textId="77777777" w:rsidR="00955F52" w:rsidRDefault="00955F52" w:rsidP="00955F52"/>
    <w:p w14:paraId="00000007" w14:textId="610D073C" w:rsidR="00810153" w:rsidRPr="00D76B7C" w:rsidRDefault="001C07F2" w:rsidP="00955F52">
      <w:r w:rsidRPr="00D76B7C">
        <w:t>The vast majority of cases of 16</w:t>
      </w:r>
      <w:r w:rsidR="005B59C5" w:rsidRPr="00D76B7C">
        <w:t xml:space="preserve">- and </w:t>
      </w:r>
      <w:r w:rsidRPr="00D76B7C">
        <w:t>17</w:t>
      </w:r>
      <w:r w:rsidR="005B59C5" w:rsidRPr="00D76B7C">
        <w:t>-</w:t>
      </w:r>
      <w:r w:rsidRPr="00D76B7C">
        <w:t>year</w:t>
      </w:r>
      <w:r w:rsidR="005B59C5" w:rsidRPr="00D76B7C">
        <w:t>-</w:t>
      </w:r>
      <w:r w:rsidRPr="00D76B7C">
        <w:t xml:space="preserve">olds </w:t>
      </w:r>
      <w:r w:rsidR="005B59C5" w:rsidRPr="00D76B7C">
        <w:t>have their cases</w:t>
      </w:r>
      <w:r w:rsidRPr="00D76B7C">
        <w:t xml:space="preserve"> heard in the Family Court, either originating there or being transferred there from the new Youth Part of the adult criminal court. </w:t>
      </w:r>
    </w:p>
    <w:p w14:paraId="6D9BBA28" w14:textId="77777777" w:rsidR="00955F52" w:rsidRDefault="00955F52" w:rsidP="00955F52"/>
    <w:p w14:paraId="26F7D4B4" w14:textId="04D1F0CA" w:rsidR="00955F52" w:rsidRPr="00FC3CF6" w:rsidRDefault="001C07F2" w:rsidP="00955F52">
      <w:pPr>
        <w:rPr>
          <w:u w:val="single"/>
        </w:rPr>
      </w:pPr>
      <w:r w:rsidRPr="00955F52">
        <w:rPr>
          <w:u w:val="single"/>
        </w:rPr>
        <w:t xml:space="preserve">Misdemeanors: </w:t>
      </w:r>
    </w:p>
    <w:p w14:paraId="00000009" w14:textId="0D913651" w:rsidR="00810153" w:rsidRDefault="001C07F2" w:rsidP="00011F91">
      <w:pPr>
        <w:pStyle w:val="ListParagraph"/>
        <w:numPr>
          <w:ilvl w:val="0"/>
          <w:numId w:val="3"/>
        </w:numPr>
      </w:pPr>
      <w:r w:rsidRPr="00955F52">
        <w:t xml:space="preserve">All misdemeanor cases (other than vehicle and traffic law misdemeanors) </w:t>
      </w:r>
      <w:r w:rsidR="005B59C5">
        <w:t>are</w:t>
      </w:r>
      <w:r w:rsidRPr="00955F52">
        <w:t xml:space="preserve"> heard in Family Court pursuant to the Family Court Act. This includes Family Court Act procedures for adjustment and confidential records. </w:t>
      </w:r>
    </w:p>
    <w:p w14:paraId="1D018F3B" w14:textId="77777777" w:rsidR="00955F52" w:rsidRPr="00955F52" w:rsidRDefault="00955F52" w:rsidP="00955F52"/>
    <w:p w14:paraId="43989651" w14:textId="050F2916" w:rsidR="00955F52" w:rsidRPr="00FC3CF6" w:rsidRDefault="001C07F2" w:rsidP="00955F52">
      <w:pPr>
        <w:rPr>
          <w:u w:val="single"/>
        </w:rPr>
      </w:pPr>
      <w:r w:rsidRPr="00955F52">
        <w:rPr>
          <w:u w:val="single"/>
        </w:rPr>
        <w:t xml:space="preserve">Felonies: </w:t>
      </w:r>
    </w:p>
    <w:p w14:paraId="444B5F8F" w14:textId="63DC0EB1" w:rsidR="00011F91" w:rsidRDefault="001C07F2" w:rsidP="00955F52">
      <w:pPr>
        <w:pStyle w:val="ListParagraph"/>
        <w:numPr>
          <w:ilvl w:val="0"/>
          <w:numId w:val="3"/>
        </w:numPr>
      </w:pPr>
      <w:r w:rsidRPr="00955F52">
        <w:t xml:space="preserve">All felony cases start in the Youth Part of the adult criminal court. </w:t>
      </w:r>
    </w:p>
    <w:p w14:paraId="09ABB4D2" w14:textId="0A972FFF" w:rsidR="00011F91" w:rsidRDefault="001C07F2" w:rsidP="00955F52">
      <w:pPr>
        <w:pStyle w:val="ListParagraph"/>
        <w:numPr>
          <w:ilvl w:val="0"/>
          <w:numId w:val="3"/>
        </w:numPr>
      </w:pPr>
      <w:r w:rsidRPr="00955F52">
        <w:t xml:space="preserve">All </w:t>
      </w:r>
      <w:r w:rsidRPr="00011F91">
        <w:rPr>
          <w:b/>
          <w:bCs/>
        </w:rPr>
        <w:t>non-violent felonies</w:t>
      </w:r>
      <w:r w:rsidRPr="00955F52">
        <w:t xml:space="preserve"> </w:t>
      </w:r>
      <w:r w:rsidR="005B59C5">
        <w:t xml:space="preserve">are </w:t>
      </w:r>
      <w:r w:rsidRPr="00955F52">
        <w:t xml:space="preserve">transferred from the Youth Part to the Family Court unless the District Attorney (DA) files a motion within 30 days showing “extraordinary circumstances” as to why the case should remain in the Youth Part. If DA files motion, there can be a hearing and the Judge must decide within 5 days of the hearing or motions whether to prevent the transfer of the case to Family Court. </w:t>
      </w:r>
    </w:p>
    <w:p w14:paraId="55F4DD2C" w14:textId="30114DEC" w:rsidR="00011F91" w:rsidRDefault="001C07F2" w:rsidP="00955F52">
      <w:pPr>
        <w:pStyle w:val="ListParagraph"/>
        <w:numPr>
          <w:ilvl w:val="0"/>
          <w:numId w:val="3"/>
        </w:numPr>
      </w:pPr>
      <w:r w:rsidRPr="00011F91">
        <w:rPr>
          <w:b/>
          <w:bCs/>
        </w:rPr>
        <w:t>Violent felonies</w:t>
      </w:r>
      <w:r w:rsidRPr="00955F52">
        <w:t xml:space="preserve"> can also be transferred from the Youth Part to the Family Court. If the charges do NOT include the accused displaying a deadly weapon in furtherance of the offense, causing significant physical injury, or engaging in unlawful sexual conduct, the case will transfer to Family Court unless the DA files a motion within 30 days showing “extraordinary circumstances” as to why the case should remain in the Youth Part. If the charge does include an element listed above, removal to Family Court is only possible with consent of the DA. Vehicle and Traffic Law cases and Class A felonies other than Class A drug offenses cannot be transferred. </w:t>
      </w:r>
    </w:p>
    <w:p w14:paraId="30BFBD2D" w14:textId="5A626A30" w:rsidR="0074689D" w:rsidRDefault="0074689D" w:rsidP="0074689D">
      <w:pPr>
        <w:pStyle w:val="ListParagraph"/>
        <w:numPr>
          <w:ilvl w:val="0"/>
          <w:numId w:val="3"/>
        </w:numPr>
      </w:pPr>
      <w:r>
        <w:lastRenderedPageBreak/>
        <w:t xml:space="preserve">If a </w:t>
      </w:r>
      <w:r w:rsidR="008475C9">
        <w:t>felony-charged youth</w:t>
      </w:r>
      <w:r>
        <w:t xml:space="preserve"> is arraigned during off-hours (</w:t>
      </w:r>
      <w:r w:rsidRPr="0074689D">
        <w:rPr>
          <w:i/>
          <w:iCs/>
        </w:rPr>
        <w:t>e.g.</w:t>
      </w:r>
      <w:r>
        <w:t xml:space="preserve">, nights and weekends when the Youth Part judge is unavailable), </w:t>
      </w:r>
      <w:r w:rsidR="008475C9">
        <w:t>the</w:t>
      </w:r>
      <w:r>
        <w:t xml:space="preserve"> judge hearing the case (known as an Accessible Magistrate) can transfer the case to Family Court with the consent of the District Attorney</w:t>
      </w:r>
      <w:r w:rsidR="008475C9">
        <w:t xml:space="preserve"> </w:t>
      </w:r>
      <w:r>
        <w:t>rather than making the youth come back the following day for the Youth Part judge to make the decision.</w:t>
      </w:r>
    </w:p>
    <w:p w14:paraId="1A2714F5" w14:textId="091C067F" w:rsidR="00011F91" w:rsidRDefault="005B59C5" w:rsidP="00955F52">
      <w:pPr>
        <w:pStyle w:val="ListParagraph"/>
        <w:numPr>
          <w:ilvl w:val="0"/>
          <w:numId w:val="3"/>
        </w:numPr>
      </w:pPr>
      <w:r>
        <w:t xml:space="preserve">Youth </w:t>
      </w:r>
      <w:r w:rsidR="00D76B7C">
        <w:t xml:space="preserve">who are 16 or 17 </w:t>
      </w:r>
      <w:r w:rsidR="001C07F2" w:rsidRPr="00955F52">
        <w:t xml:space="preserve">whose cases remain in the Youth Part </w:t>
      </w:r>
      <w:r>
        <w:t>are</w:t>
      </w:r>
      <w:r w:rsidR="001C07F2" w:rsidRPr="00955F52">
        <w:t xml:space="preserve"> referred to as “Adolescent Offenders.” Adult sentencing </w:t>
      </w:r>
      <w:r>
        <w:t>applies</w:t>
      </w:r>
      <w:r w:rsidR="001C07F2" w:rsidRPr="00955F52">
        <w:t xml:space="preserve">, but the Judge must take the youth’s age into account when sentencing. Adolescent Offenders are eligible for Youthful Offender treatment. </w:t>
      </w:r>
    </w:p>
    <w:p w14:paraId="0000000F" w14:textId="749A916D" w:rsidR="00810153" w:rsidRPr="00955F52" w:rsidRDefault="001C07F2" w:rsidP="00955F52">
      <w:pPr>
        <w:pStyle w:val="ListParagraph"/>
        <w:numPr>
          <w:ilvl w:val="0"/>
          <w:numId w:val="3"/>
        </w:numPr>
      </w:pPr>
      <w:r w:rsidRPr="00955F52">
        <w:t xml:space="preserve">Adolescent </w:t>
      </w:r>
      <w:r w:rsidR="005B59C5">
        <w:t>O</w:t>
      </w:r>
      <w:r w:rsidRPr="00955F52">
        <w:t xml:space="preserve">ffenders may voluntarily participate in services while their case is pending. </w:t>
      </w:r>
    </w:p>
    <w:p w14:paraId="498D10AC" w14:textId="77777777" w:rsidR="00955F52" w:rsidRDefault="00955F52" w:rsidP="00955F52"/>
    <w:p w14:paraId="085BF2DD" w14:textId="31A7F135" w:rsidR="00955F52" w:rsidRPr="00FC3CF6" w:rsidRDefault="001C07F2" w:rsidP="00955F52">
      <w:pPr>
        <w:rPr>
          <w:u w:val="single"/>
        </w:rPr>
      </w:pPr>
      <w:r w:rsidRPr="00955F52">
        <w:rPr>
          <w:u w:val="single"/>
        </w:rPr>
        <w:t xml:space="preserve">Violations: </w:t>
      </w:r>
    </w:p>
    <w:p w14:paraId="00000011" w14:textId="13BCB83E" w:rsidR="00810153" w:rsidRPr="00955F52" w:rsidRDefault="001C07F2" w:rsidP="00011F91">
      <w:pPr>
        <w:pStyle w:val="ListParagraph"/>
        <w:numPr>
          <w:ilvl w:val="0"/>
          <w:numId w:val="4"/>
        </w:numPr>
      </w:pPr>
      <w:r w:rsidRPr="00955F52">
        <w:t xml:space="preserve">Violations </w:t>
      </w:r>
      <w:r w:rsidR="005B59C5">
        <w:t>are</w:t>
      </w:r>
      <w:r w:rsidRPr="00955F52">
        <w:t xml:space="preserve"> heard in adult criminal/local courts</w:t>
      </w:r>
      <w:r w:rsidR="005B59C5">
        <w:t>. This was not changed by Raise the Age</w:t>
      </w:r>
      <w:r w:rsidRPr="00955F52">
        <w:t xml:space="preserve">. </w:t>
      </w:r>
    </w:p>
    <w:p w14:paraId="46CFC399" w14:textId="77777777" w:rsidR="00955F52" w:rsidRDefault="00955F52" w:rsidP="00955F52"/>
    <w:p w14:paraId="41D9CE98" w14:textId="12DD4B49" w:rsidR="00955F52" w:rsidRPr="00FC3CF6" w:rsidRDefault="001C07F2" w:rsidP="00955F52">
      <w:pPr>
        <w:rPr>
          <w:u w:val="single"/>
        </w:rPr>
      </w:pPr>
      <w:r w:rsidRPr="00955F52">
        <w:rPr>
          <w:u w:val="single"/>
        </w:rPr>
        <w:t xml:space="preserve">Family Court: </w:t>
      </w:r>
    </w:p>
    <w:p w14:paraId="00000013" w14:textId="6F22351A" w:rsidR="00810153" w:rsidRDefault="001C07F2" w:rsidP="00011F91">
      <w:pPr>
        <w:pStyle w:val="ListParagraph"/>
        <w:numPr>
          <w:ilvl w:val="0"/>
          <w:numId w:val="4"/>
        </w:numPr>
      </w:pPr>
      <w:r w:rsidRPr="00955F52">
        <w:t xml:space="preserve">Youth whose cases are heard in the Family Court will be processed pursuant to existing Juvenile Delinquency (JD) laws, which includes the opportunity for adjustment. They will not have a permanent criminal record. </w:t>
      </w:r>
    </w:p>
    <w:p w14:paraId="72CE99D4" w14:textId="77777777" w:rsidR="00955F52" w:rsidRPr="00955F52" w:rsidRDefault="00955F52" w:rsidP="00955F52"/>
    <w:p w14:paraId="6E2A1179" w14:textId="4E9DD881" w:rsidR="00955F52" w:rsidRPr="00FC3CF6" w:rsidRDefault="001C07F2" w:rsidP="00955F52">
      <w:pPr>
        <w:rPr>
          <w:u w:val="single"/>
        </w:rPr>
      </w:pPr>
      <w:r w:rsidRPr="00955F52">
        <w:rPr>
          <w:u w:val="single"/>
        </w:rPr>
        <w:t xml:space="preserve">Youth Part of Adult Court: </w:t>
      </w:r>
    </w:p>
    <w:p w14:paraId="7C75DC0A" w14:textId="04BAEC04" w:rsidR="00011F91" w:rsidRDefault="005B59C5" w:rsidP="00955F52">
      <w:pPr>
        <w:pStyle w:val="ListParagraph"/>
        <w:numPr>
          <w:ilvl w:val="0"/>
          <w:numId w:val="4"/>
        </w:numPr>
      </w:pPr>
      <w:r>
        <w:t xml:space="preserve">The </w:t>
      </w:r>
      <w:r w:rsidR="001C07F2" w:rsidRPr="00955F52">
        <w:t xml:space="preserve">“Youth Parts” </w:t>
      </w:r>
      <w:r>
        <w:t>of adult criminal court hear the cases of a</w:t>
      </w:r>
      <w:r w:rsidR="001C07F2" w:rsidRPr="00955F52">
        <w:t xml:space="preserve">ll Juvenile Offenders </w:t>
      </w:r>
      <w:r>
        <w:t xml:space="preserve">(aged 13 to 15) </w:t>
      </w:r>
      <w:r w:rsidR="001C07F2" w:rsidRPr="00955F52">
        <w:t xml:space="preserve">and all Adolescent Offenders </w:t>
      </w:r>
      <w:r>
        <w:t>(aged 16 and 17)</w:t>
      </w:r>
      <w:r w:rsidR="001C07F2" w:rsidRPr="00955F52">
        <w:t xml:space="preserve">. </w:t>
      </w:r>
    </w:p>
    <w:p w14:paraId="6CDD0FA7" w14:textId="76DD904B" w:rsidR="004C20A8" w:rsidRDefault="0074689D" w:rsidP="004C20A8">
      <w:pPr>
        <w:pStyle w:val="ListParagraph"/>
        <w:numPr>
          <w:ilvl w:val="0"/>
          <w:numId w:val="4"/>
        </w:numPr>
      </w:pPr>
      <w:r>
        <w:t>Youth Part judges have Family</w:t>
      </w:r>
      <w:r w:rsidR="001C07F2" w:rsidRPr="00955F52">
        <w:t xml:space="preserve"> Court judge</w:t>
      </w:r>
      <w:r>
        <w:t xml:space="preserve"> training</w:t>
      </w:r>
      <w:r w:rsidR="001C07F2" w:rsidRPr="00955F52">
        <w:t xml:space="preserve">. </w:t>
      </w:r>
    </w:p>
    <w:p w14:paraId="32908A40" w14:textId="77777777" w:rsidR="00955F52" w:rsidRPr="00955F52" w:rsidRDefault="00955F52" w:rsidP="00955F52"/>
    <w:p w14:paraId="00000017" w14:textId="397C9C37" w:rsidR="00810153" w:rsidRPr="00955F52" w:rsidRDefault="001C07F2" w:rsidP="00955F52">
      <w:pPr>
        <w:jc w:val="center"/>
        <w:rPr>
          <w:b/>
          <w:bCs/>
          <w:u w:val="single"/>
        </w:rPr>
      </w:pPr>
      <w:r w:rsidRPr="00955F52">
        <w:rPr>
          <w:b/>
          <w:bCs/>
          <w:u w:val="single"/>
        </w:rPr>
        <w:t>Facilities</w:t>
      </w:r>
    </w:p>
    <w:p w14:paraId="26056EE9" w14:textId="77777777" w:rsidR="00955F52" w:rsidRPr="00955F52" w:rsidRDefault="00955F52" w:rsidP="00955F52"/>
    <w:p w14:paraId="0B86A6E3" w14:textId="77777777" w:rsidR="008475C9" w:rsidRDefault="001C07F2" w:rsidP="00955F52">
      <w:pPr>
        <w:pStyle w:val="ListParagraph"/>
        <w:numPr>
          <w:ilvl w:val="0"/>
          <w:numId w:val="5"/>
        </w:numPr>
      </w:pPr>
      <w:r w:rsidRPr="00955F52">
        <w:t>No 1</w:t>
      </w:r>
      <w:r w:rsidR="008475C9">
        <w:t>6-</w:t>
      </w:r>
      <w:r w:rsidRPr="00955F52">
        <w:t xml:space="preserve"> or 17</w:t>
      </w:r>
      <w:r w:rsidR="008475C9">
        <w:t>-</w:t>
      </w:r>
      <w:r w:rsidRPr="00955F52">
        <w:t>year</w:t>
      </w:r>
      <w:r w:rsidR="008475C9">
        <w:t>-</w:t>
      </w:r>
      <w:r w:rsidRPr="00955F52">
        <w:t xml:space="preserve">old </w:t>
      </w:r>
      <w:r w:rsidR="008475C9">
        <w:t>can be</w:t>
      </w:r>
      <w:r w:rsidRPr="00955F52">
        <w:t xml:space="preserve"> sentenced to or detained in a facility with adults. </w:t>
      </w:r>
    </w:p>
    <w:p w14:paraId="36CED45A" w14:textId="77D18641" w:rsidR="00A066CB" w:rsidRDefault="001C07F2" w:rsidP="00955F52">
      <w:pPr>
        <w:pStyle w:val="ListParagraph"/>
        <w:numPr>
          <w:ilvl w:val="0"/>
          <w:numId w:val="5"/>
        </w:numPr>
      </w:pPr>
      <w:r w:rsidRPr="00955F52">
        <w:t xml:space="preserve">Youth whose cases are heard in Family Court </w:t>
      </w:r>
      <w:r w:rsidR="008475C9">
        <w:t xml:space="preserve">can </w:t>
      </w:r>
      <w:r w:rsidRPr="00955F52">
        <w:t xml:space="preserve">be detained or placed in </w:t>
      </w:r>
      <w:r w:rsidR="008475C9">
        <w:t>Office of Children and Family Services (</w:t>
      </w:r>
      <w:r w:rsidRPr="00955F52">
        <w:t>OCFS</w:t>
      </w:r>
      <w:r w:rsidR="008475C9">
        <w:t>)</w:t>
      </w:r>
      <w:r w:rsidRPr="00955F52">
        <w:t xml:space="preserve">-operated, OCFS-licensed, or </w:t>
      </w:r>
      <w:r w:rsidR="008475C9">
        <w:t>Administration for Children’s Services (ACS)</w:t>
      </w:r>
      <w:r w:rsidRPr="00955F52">
        <w:t xml:space="preserve"> facilities (including Close to Home), as Juvenile Delinquents.</w:t>
      </w:r>
    </w:p>
    <w:p w14:paraId="47FA2D33" w14:textId="5191A1CA" w:rsidR="008475C9" w:rsidRDefault="008475C9" w:rsidP="008475C9">
      <w:pPr>
        <w:pStyle w:val="ListParagraph"/>
        <w:numPr>
          <w:ilvl w:val="0"/>
          <w:numId w:val="5"/>
        </w:numPr>
      </w:pPr>
      <w:r w:rsidRPr="00955F52">
        <w:t xml:space="preserve">Adolescent Offenders who are detained pre-trial </w:t>
      </w:r>
      <w:r>
        <w:t xml:space="preserve">can </w:t>
      </w:r>
      <w:r w:rsidRPr="00955F52">
        <w:t xml:space="preserve">be held in a specialized secure juvenile detention center for older youth, which </w:t>
      </w:r>
      <w:r>
        <w:t xml:space="preserve">are </w:t>
      </w:r>
      <w:r w:rsidRPr="00955F52">
        <w:t xml:space="preserve">certified and regulated by OCFS in conjunction with the state commission of correction. Judges have the discretion to order that Adolescent Offenders who are sentenced to less than a year serve such sentences in a specialized juvenile detention center for older youth. </w:t>
      </w:r>
    </w:p>
    <w:p w14:paraId="63A4DE7C" w14:textId="086CB26F" w:rsidR="008475C9" w:rsidRDefault="008475C9" w:rsidP="008475C9">
      <w:pPr>
        <w:pStyle w:val="ListParagraph"/>
        <w:numPr>
          <w:ilvl w:val="0"/>
          <w:numId w:val="5"/>
        </w:numPr>
      </w:pPr>
      <w:r w:rsidRPr="00955F52">
        <w:t xml:space="preserve">Adolescent Offenders who are sentenced to </w:t>
      </w:r>
      <w:r w:rsidR="00D76B7C">
        <w:t xml:space="preserve">incarceration after </w:t>
      </w:r>
      <w:r w:rsidR="003B6C9E">
        <w:t xml:space="preserve">June 2020 </w:t>
      </w:r>
      <w:r w:rsidRPr="00955F52">
        <w:t xml:space="preserve">will be placed in </w:t>
      </w:r>
      <w:r w:rsidR="00D76B7C">
        <w:t xml:space="preserve">OCFS-operated secure facilities. All youth sentenced as </w:t>
      </w:r>
      <w:r w:rsidRPr="00955F52">
        <w:t xml:space="preserve">Adolescent Offender </w:t>
      </w:r>
      <w:r w:rsidR="00D76B7C">
        <w:t xml:space="preserve">prior to </w:t>
      </w:r>
      <w:r w:rsidR="003B6C9E">
        <w:t xml:space="preserve">June 2020 </w:t>
      </w:r>
      <w:r w:rsidR="00D76B7C">
        <w:t xml:space="preserve">must be transferred from Adolescent Offender facilities operated by the Department of Correction and Community Supervision (DOCCS) </w:t>
      </w:r>
      <w:r w:rsidR="00582A7B">
        <w:t xml:space="preserve">to OCFS secure facilities </w:t>
      </w:r>
      <w:r w:rsidR="00D76B7C">
        <w:t xml:space="preserve">by 10/1/2020. </w:t>
      </w:r>
    </w:p>
    <w:p w14:paraId="7700ED47" w14:textId="4CE91A3D" w:rsidR="00011F91" w:rsidRDefault="00A066CB" w:rsidP="008475C9">
      <w:pPr>
        <w:pStyle w:val="ListParagraph"/>
        <w:numPr>
          <w:ilvl w:val="0"/>
          <w:numId w:val="5"/>
        </w:numPr>
      </w:pPr>
      <w:r>
        <w:t xml:space="preserve">Adolescent Offenders </w:t>
      </w:r>
      <w:r w:rsidR="00D76B7C">
        <w:t xml:space="preserve">sentenced to secure OCFS facilities can remain there </w:t>
      </w:r>
      <w:r w:rsidR="002A5797">
        <w:t>until they are 21</w:t>
      </w:r>
      <w:r w:rsidR="00D76B7C">
        <w:t>.</w:t>
      </w:r>
    </w:p>
    <w:p w14:paraId="276185E0" w14:textId="0319B1F6" w:rsidR="00D80625" w:rsidRDefault="00D80625" w:rsidP="003B6C9E">
      <w:pPr>
        <w:rPr>
          <w:b/>
          <w:bCs/>
          <w:u w:val="single"/>
        </w:rPr>
      </w:pPr>
    </w:p>
    <w:p w14:paraId="0000001C" w14:textId="3A2AAF1A" w:rsidR="00810153" w:rsidRPr="00955F52" w:rsidRDefault="001C07F2" w:rsidP="00955F52">
      <w:pPr>
        <w:jc w:val="center"/>
        <w:rPr>
          <w:b/>
          <w:bCs/>
          <w:u w:val="single"/>
        </w:rPr>
      </w:pPr>
      <w:r w:rsidRPr="00955F52">
        <w:rPr>
          <w:b/>
          <w:bCs/>
          <w:u w:val="single"/>
        </w:rPr>
        <w:t>Sealing</w:t>
      </w:r>
    </w:p>
    <w:p w14:paraId="75DF70BA" w14:textId="77777777" w:rsidR="00955F52" w:rsidRDefault="00955F52" w:rsidP="00955F52"/>
    <w:p w14:paraId="34B2E959" w14:textId="6F0EE873" w:rsidR="00011F91" w:rsidRDefault="001C07F2" w:rsidP="00011F91">
      <w:pPr>
        <w:pStyle w:val="ListParagraph"/>
        <w:numPr>
          <w:ilvl w:val="0"/>
          <w:numId w:val="6"/>
        </w:numPr>
      </w:pPr>
      <w:r w:rsidRPr="00955F52">
        <w:t xml:space="preserve">Anyone convicted of an eligible offense in an adult court may seek to have his/her record sealed pursuant to C.P.L. § 160.59 after ten years from the imposition of the sentence or discharge from incarceration, whichever is latest. Violent felonies, sex offenses, and Class A felonies are not eligible offenses. In addition, sealing is only available for people who have no more than 2 convictions, one of which may be for a felony. </w:t>
      </w:r>
    </w:p>
    <w:p w14:paraId="0000001E" w14:textId="552CD087" w:rsidR="00810153" w:rsidRDefault="003B6C9E" w:rsidP="00011F91">
      <w:pPr>
        <w:pStyle w:val="ListParagraph"/>
        <w:numPr>
          <w:ilvl w:val="0"/>
          <w:numId w:val="6"/>
        </w:numPr>
      </w:pPr>
      <w:r>
        <w:t xml:space="preserve">There is </w:t>
      </w:r>
      <w:r w:rsidR="001C07F2" w:rsidRPr="00955F52">
        <w:t>no fee for applying</w:t>
      </w:r>
      <w:r>
        <w:t xml:space="preserve">, and the application can be found </w:t>
      </w:r>
      <w:hyperlink r:id="rId9" w:history="1">
        <w:r w:rsidR="00AD3E60">
          <w:rPr>
            <w:rStyle w:val="Hyperlink"/>
          </w:rPr>
          <w:t>here</w:t>
        </w:r>
      </w:hyperlink>
      <w:r w:rsidR="00AD3E60">
        <w:t>.</w:t>
      </w:r>
    </w:p>
    <w:p w14:paraId="0E38BE25" w14:textId="77777777" w:rsidR="006439BB" w:rsidRDefault="006439BB" w:rsidP="005660A4">
      <w:pPr>
        <w:rPr>
          <w:b/>
          <w:bCs/>
          <w:u w:val="single"/>
        </w:rPr>
      </w:pPr>
    </w:p>
    <w:p w14:paraId="5C9B0F16" w14:textId="77777777" w:rsidR="00A42C04" w:rsidRDefault="00A42C04" w:rsidP="00955F52">
      <w:pPr>
        <w:jc w:val="center"/>
        <w:rPr>
          <w:b/>
          <w:bCs/>
          <w:u w:val="single"/>
        </w:rPr>
      </w:pPr>
    </w:p>
    <w:p w14:paraId="0000001F" w14:textId="38E5A295" w:rsidR="00810153" w:rsidRPr="00955F52" w:rsidRDefault="001C07F2" w:rsidP="00955F52">
      <w:pPr>
        <w:jc w:val="center"/>
        <w:rPr>
          <w:b/>
          <w:bCs/>
          <w:u w:val="single"/>
        </w:rPr>
      </w:pPr>
      <w:r w:rsidRPr="00955F52">
        <w:rPr>
          <w:b/>
          <w:bCs/>
          <w:u w:val="single"/>
        </w:rPr>
        <w:lastRenderedPageBreak/>
        <w:t>Raise the Age Implementation Task Force</w:t>
      </w:r>
    </w:p>
    <w:p w14:paraId="32956384" w14:textId="77777777" w:rsidR="00955F52" w:rsidRPr="00955F52" w:rsidRDefault="00955F52" w:rsidP="00955F52"/>
    <w:p w14:paraId="0203C742" w14:textId="724FE699" w:rsidR="00011F91" w:rsidRDefault="001C07F2" w:rsidP="00955F52">
      <w:pPr>
        <w:pStyle w:val="ListParagraph"/>
        <w:numPr>
          <w:ilvl w:val="0"/>
          <w:numId w:val="7"/>
        </w:numPr>
      </w:pPr>
      <w:r w:rsidRPr="00955F52">
        <w:t>The Governor appoint</w:t>
      </w:r>
      <w:r w:rsidR="003B6C9E">
        <w:t>ed</w:t>
      </w:r>
      <w:r w:rsidRPr="00955F52">
        <w:t xml:space="preserve"> </w:t>
      </w:r>
      <w:r w:rsidR="003B6C9E">
        <w:t xml:space="preserve">a </w:t>
      </w:r>
      <w:hyperlink r:id="rId10" w:history="1">
        <w:r w:rsidR="00AD18EA" w:rsidRPr="00AD18EA">
          <w:rPr>
            <w:rStyle w:val="Hyperlink"/>
          </w:rPr>
          <w:t>Task Force</w:t>
        </w:r>
      </w:hyperlink>
      <w:r w:rsidR="00AD18EA">
        <w:t xml:space="preserve"> t</w:t>
      </w:r>
      <w:r w:rsidRPr="00955F52">
        <w:t xml:space="preserve">o coordinate the implementation of these changes. </w:t>
      </w:r>
    </w:p>
    <w:p w14:paraId="00000021" w14:textId="658415F0" w:rsidR="00810153" w:rsidRDefault="001C07F2" w:rsidP="00955F52">
      <w:pPr>
        <w:pStyle w:val="ListParagraph"/>
        <w:numPr>
          <w:ilvl w:val="0"/>
          <w:numId w:val="7"/>
        </w:numPr>
      </w:pPr>
      <w:r w:rsidRPr="00955F52">
        <w:t>The Task Force iss</w:t>
      </w:r>
      <w:r w:rsidR="003B6C9E">
        <w:t xml:space="preserve">ued a </w:t>
      </w:r>
      <w:r w:rsidRPr="00955F52">
        <w:t>report</w:t>
      </w:r>
      <w:r w:rsidR="003B6C9E">
        <w:t xml:space="preserve"> required by the legislation</w:t>
      </w:r>
      <w:r w:rsidRPr="00955F52">
        <w:t xml:space="preserve"> </w:t>
      </w:r>
      <w:r w:rsidR="003B6C9E">
        <w:t xml:space="preserve">in August 2019 on </w:t>
      </w:r>
      <w:hyperlink r:id="rId11" w:history="1">
        <w:r w:rsidR="008D2CB2">
          <w:rPr>
            <w:rStyle w:val="Hyperlink"/>
          </w:rPr>
          <w:t>Raise the Age Implementation</w:t>
        </w:r>
      </w:hyperlink>
      <w:r w:rsidR="008D2CB2">
        <w:t xml:space="preserve"> </w:t>
      </w:r>
      <w:r w:rsidR="003B6C9E">
        <w:t xml:space="preserve">during the first year, and a second report will follow in 2020. </w:t>
      </w:r>
    </w:p>
    <w:p w14:paraId="52820191" w14:textId="77777777" w:rsidR="00955F52" w:rsidRPr="00955F52" w:rsidRDefault="00955F52" w:rsidP="00955F52"/>
    <w:p w14:paraId="00000022" w14:textId="02E62C07" w:rsidR="00810153" w:rsidRPr="00955F52" w:rsidRDefault="001C07F2" w:rsidP="00955F52">
      <w:pPr>
        <w:jc w:val="center"/>
        <w:rPr>
          <w:b/>
          <w:bCs/>
          <w:u w:val="single"/>
        </w:rPr>
      </w:pPr>
      <w:r w:rsidRPr="00955F52">
        <w:rPr>
          <w:b/>
          <w:bCs/>
          <w:u w:val="single"/>
        </w:rPr>
        <w:t>Effective Dates</w:t>
      </w:r>
    </w:p>
    <w:p w14:paraId="18C61A28" w14:textId="77777777" w:rsidR="00955F52" w:rsidRPr="00955F52" w:rsidRDefault="00955F52" w:rsidP="00955F52"/>
    <w:p w14:paraId="7333D2C5" w14:textId="347006F6" w:rsidR="00011F91" w:rsidRDefault="001C07F2" w:rsidP="00955F52">
      <w:pPr>
        <w:pStyle w:val="ListParagraph"/>
        <w:numPr>
          <w:ilvl w:val="0"/>
          <w:numId w:val="8"/>
        </w:numPr>
      </w:pPr>
      <w:r w:rsidRPr="00955F52">
        <w:t>Sealing Provisions: 10/6/17</w:t>
      </w:r>
      <w:r w:rsidR="003B6C9E">
        <w:t>.</w:t>
      </w:r>
      <w:r w:rsidRPr="00955F52">
        <w:t xml:space="preserve"> </w:t>
      </w:r>
    </w:p>
    <w:p w14:paraId="2D1DBFE0" w14:textId="2AFFB328" w:rsidR="00011F91" w:rsidRDefault="001C07F2" w:rsidP="00955F52">
      <w:pPr>
        <w:pStyle w:val="ListParagraph"/>
        <w:numPr>
          <w:ilvl w:val="0"/>
          <w:numId w:val="8"/>
        </w:numPr>
      </w:pPr>
      <w:r w:rsidRPr="00955F52">
        <w:t>Raise the age for 16</w:t>
      </w:r>
      <w:r w:rsidR="003B6C9E">
        <w:t>-</w:t>
      </w:r>
      <w:r w:rsidRPr="00955F52">
        <w:t>year</w:t>
      </w:r>
      <w:r w:rsidR="003B6C9E">
        <w:t>-o</w:t>
      </w:r>
      <w:r w:rsidRPr="00955F52">
        <w:t xml:space="preserve">ds: 10/1/18. </w:t>
      </w:r>
    </w:p>
    <w:p w14:paraId="2D0E7A64" w14:textId="54108FA1" w:rsidR="00011F91" w:rsidRDefault="001C07F2" w:rsidP="00955F52">
      <w:pPr>
        <w:pStyle w:val="ListParagraph"/>
        <w:numPr>
          <w:ilvl w:val="0"/>
          <w:numId w:val="8"/>
        </w:numPr>
      </w:pPr>
      <w:r w:rsidRPr="00955F52">
        <w:t>Raise the age for 17</w:t>
      </w:r>
      <w:r w:rsidR="003B6C9E">
        <w:t>-</w:t>
      </w:r>
      <w:r w:rsidRPr="00955F52">
        <w:t>year</w:t>
      </w:r>
      <w:r w:rsidR="003B6C9E">
        <w:t>-</w:t>
      </w:r>
      <w:r w:rsidRPr="00955F52">
        <w:t xml:space="preserve">olds: 10/1/19. </w:t>
      </w:r>
    </w:p>
    <w:p w14:paraId="2F27C8A1" w14:textId="2CE3503B" w:rsidR="00011F91" w:rsidRDefault="001C07F2" w:rsidP="00955F52">
      <w:pPr>
        <w:pStyle w:val="ListParagraph"/>
        <w:numPr>
          <w:ilvl w:val="0"/>
          <w:numId w:val="8"/>
        </w:numPr>
      </w:pPr>
      <w:r w:rsidRPr="00955F52">
        <w:t>Sections related to state reimbursement to the counties for probation</w:t>
      </w:r>
      <w:r w:rsidR="003B6C9E">
        <w:t xml:space="preserve">: </w:t>
      </w:r>
      <w:r w:rsidRPr="00955F52">
        <w:t xml:space="preserve">4/1/18. </w:t>
      </w:r>
    </w:p>
    <w:p w14:paraId="32DB927B" w14:textId="0F92682E" w:rsidR="00011F91" w:rsidRDefault="001C07F2" w:rsidP="00955F52">
      <w:pPr>
        <w:pStyle w:val="ListParagraph"/>
        <w:numPr>
          <w:ilvl w:val="0"/>
          <w:numId w:val="8"/>
        </w:numPr>
      </w:pPr>
      <w:r w:rsidRPr="00955F52">
        <w:t>Sections related to reimbursement for detention and alternative to detention</w:t>
      </w:r>
      <w:r w:rsidR="003B6C9E">
        <w:t xml:space="preserve">: </w:t>
      </w:r>
      <w:r w:rsidRPr="00955F52">
        <w:t xml:space="preserve">10/1/18. </w:t>
      </w:r>
    </w:p>
    <w:p w14:paraId="00000028" w14:textId="63B74F9C" w:rsidR="00810153" w:rsidRDefault="001C07F2" w:rsidP="00955F52">
      <w:pPr>
        <w:pStyle w:val="ListParagraph"/>
        <w:numPr>
          <w:ilvl w:val="0"/>
          <w:numId w:val="8"/>
        </w:numPr>
      </w:pPr>
      <w:r w:rsidRPr="00955F52">
        <w:t>Elimination of state support for detained PINS</w:t>
      </w:r>
      <w:r w:rsidR="003B6C9E">
        <w:t xml:space="preserve">: </w:t>
      </w:r>
      <w:r w:rsidRPr="00955F52">
        <w:t xml:space="preserve">1/1/2020. </w:t>
      </w:r>
    </w:p>
    <w:p w14:paraId="04088EC0" w14:textId="77777777" w:rsidR="00955F52" w:rsidRPr="00955F52" w:rsidRDefault="00955F52" w:rsidP="00955F52"/>
    <w:p w14:paraId="00000029" w14:textId="0B67B648" w:rsidR="00810153" w:rsidRPr="00955F52" w:rsidRDefault="001C07F2" w:rsidP="00955F52">
      <w:pPr>
        <w:jc w:val="center"/>
        <w:rPr>
          <w:b/>
          <w:bCs/>
          <w:u w:val="single"/>
        </w:rPr>
      </w:pPr>
      <w:r w:rsidRPr="00955F52">
        <w:rPr>
          <w:b/>
          <w:bCs/>
          <w:u w:val="single"/>
        </w:rPr>
        <w:t>Youthful Offenders</w:t>
      </w:r>
    </w:p>
    <w:p w14:paraId="10A0FF1D" w14:textId="77777777" w:rsidR="00955F52" w:rsidRPr="00955F52" w:rsidRDefault="00955F52" w:rsidP="00955F52"/>
    <w:p w14:paraId="0000002A" w14:textId="0DD15939" w:rsidR="00810153" w:rsidRDefault="001C07F2" w:rsidP="00011F91">
      <w:pPr>
        <w:pStyle w:val="ListParagraph"/>
        <w:numPr>
          <w:ilvl w:val="0"/>
          <w:numId w:val="9"/>
        </w:numPr>
      </w:pPr>
      <w:r w:rsidRPr="00955F52">
        <w:t xml:space="preserve">The Youthful Offender (YO) laws remain the same. </w:t>
      </w:r>
    </w:p>
    <w:p w14:paraId="415D4CA0" w14:textId="77777777" w:rsidR="00955F52" w:rsidRPr="00955F52" w:rsidRDefault="00955F52" w:rsidP="00955F52"/>
    <w:p w14:paraId="0000002B" w14:textId="48F9F03C" w:rsidR="00810153" w:rsidRDefault="001C07F2" w:rsidP="005B2770">
      <w:pPr>
        <w:jc w:val="center"/>
        <w:rPr>
          <w:b/>
          <w:bCs/>
          <w:u w:val="single"/>
        </w:rPr>
      </w:pPr>
      <w:r w:rsidRPr="005B2770">
        <w:rPr>
          <w:b/>
          <w:bCs/>
          <w:u w:val="single"/>
        </w:rPr>
        <w:t>New York State Assembly Chart Summarizing Court Processing</w:t>
      </w:r>
    </w:p>
    <w:p w14:paraId="37821AD2" w14:textId="154BA8C8" w:rsidR="005B2770" w:rsidRDefault="005B2770" w:rsidP="005B2770">
      <w:pPr>
        <w:jc w:val="center"/>
        <w:rPr>
          <w:b/>
          <w:bCs/>
          <w:u w:val="single"/>
        </w:rPr>
      </w:pPr>
    </w:p>
    <w:p w14:paraId="1296C6DE" w14:textId="71467E3B" w:rsidR="005B2770" w:rsidRPr="005B2770" w:rsidRDefault="005B2770" w:rsidP="005B2770">
      <w:pPr>
        <w:jc w:val="center"/>
        <w:rPr>
          <w:b/>
          <w:bCs/>
          <w:u w:val="single"/>
        </w:rPr>
      </w:pPr>
      <w:r>
        <w:rPr>
          <w:b/>
          <w:bCs/>
          <w:noProof/>
          <w:u w:val="single"/>
        </w:rPr>
        <w:drawing>
          <wp:anchor distT="0" distB="0" distL="114300" distR="114300" simplePos="0" relativeHeight="251659264" behindDoc="0" locked="0" layoutInCell="1" allowOverlap="1" wp14:anchorId="3865A2F5" wp14:editId="6F222FE5">
            <wp:simplePos x="0" y="0"/>
            <wp:positionH relativeFrom="column">
              <wp:posOffset>238125</wp:posOffset>
            </wp:positionH>
            <wp:positionV relativeFrom="paragraph">
              <wp:posOffset>0</wp:posOffset>
            </wp:positionV>
            <wp:extent cx="6379210" cy="28003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A chart.jpg"/>
                    <pic:cNvPicPr/>
                  </pic:nvPicPr>
                  <pic:blipFill rotWithShape="1">
                    <a:blip r:embed="rId12">
                      <a:extLst>
                        <a:ext uri="{28A0092B-C50C-407E-A947-70E740481C1C}">
                          <a14:useLocalDpi xmlns:a14="http://schemas.microsoft.com/office/drawing/2010/main" val="0"/>
                        </a:ext>
                      </a:extLst>
                    </a:blip>
                    <a:srcRect l="3118" t="12682" r="1973" b="7135"/>
                    <a:stretch/>
                  </pic:blipFill>
                  <pic:spPr bwMode="auto">
                    <a:xfrm>
                      <a:off x="0" y="0"/>
                      <a:ext cx="6379210" cy="280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B2770" w:rsidRPr="005B2770" w:rsidSect="00011F91">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21D46" w14:textId="77777777" w:rsidR="000D7306" w:rsidRDefault="000D7306" w:rsidP="00955F52">
      <w:pPr>
        <w:spacing w:line="240" w:lineRule="auto"/>
      </w:pPr>
      <w:r>
        <w:separator/>
      </w:r>
    </w:p>
  </w:endnote>
  <w:endnote w:type="continuationSeparator" w:id="0">
    <w:p w14:paraId="5F5C6EDF" w14:textId="77777777" w:rsidR="000D7306" w:rsidRDefault="000D7306" w:rsidP="00955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C0860" w14:textId="77777777" w:rsidR="000D7306" w:rsidRDefault="000D7306" w:rsidP="00955F52">
      <w:pPr>
        <w:spacing w:line="240" w:lineRule="auto"/>
      </w:pPr>
      <w:r>
        <w:separator/>
      </w:r>
    </w:p>
  </w:footnote>
  <w:footnote w:type="continuationSeparator" w:id="0">
    <w:p w14:paraId="40D9583F" w14:textId="77777777" w:rsidR="000D7306" w:rsidRDefault="000D7306" w:rsidP="00955F52">
      <w:pPr>
        <w:spacing w:line="240" w:lineRule="auto"/>
      </w:pPr>
      <w:r>
        <w:continuationSeparator/>
      </w:r>
    </w:p>
  </w:footnote>
  <w:footnote w:id="1">
    <w:p w14:paraId="5695C46E" w14:textId="6B5871C2" w:rsidR="009C38F6" w:rsidRPr="00A42C04" w:rsidRDefault="009C38F6">
      <w:pPr>
        <w:pStyle w:val="FootnoteText"/>
      </w:pPr>
      <w:r w:rsidRPr="005660A4">
        <w:rPr>
          <w:rStyle w:val="FootnoteReference"/>
          <w:sz w:val="18"/>
          <w:szCs w:val="18"/>
        </w:rPr>
        <w:footnoteRef/>
      </w:r>
      <w:r w:rsidRPr="005660A4">
        <w:rPr>
          <w:sz w:val="18"/>
          <w:szCs w:val="18"/>
        </w:rPr>
        <w:t xml:space="preserve"> </w:t>
      </w:r>
      <w:hyperlink r:id="rId1" w:history="1">
        <w:r w:rsidR="005660A4" w:rsidRPr="00A42C04">
          <w:rPr>
            <w:shd w:val="clear" w:color="auto" w:fill="FFFFFF"/>
          </w:rPr>
          <w:t xml:space="preserve">N.Y. Crim. Proc. Law §§ 722.20–21, </w:t>
        </w:r>
        <w:r w:rsidR="005660A4" w:rsidRPr="00A42C04">
          <w:rPr>
            <w:i/>
            <w:iCs/>
            <w:shd w:val="clear" w:color="auto" w:fill="FFFFFF"/>
          </w:rPr>
          <w:t>amended by</w:t>
        </w:r>
        <w:r w:rsidR="005660A4" w:rsidRPr="00A42C04">
          <w:rPr>
            <w:shd w:val="clear" w:color="auto" w:fill="FFFFFF"/>
          </w:rPr>
          <w:t xml:space="preserve"> 2019 N.Y. SB 6550</w:t>
        </w:r>
        <w:r w:rsidR="00604862" w:rsidRPr="00A42C04">
          <w:rPr>
            <w:rStyle w:val="Hyperlink"/>
            <w:color w:val="auto"/>
            <w:u w:val="none"/>
          </w:rPr>
          <w:t>.</w:t>
        </w:r>
      </w:hyperlink>
    </w:p>
  </w:footnote>
  <w:footnote w:id="2">
    <w:p w14:paraId="7DDA4743" w14:textId="5D39B62B" w:rsidR="00604862" w:rsidRPr="007E2D2F" w:rsidRDefault="000D7306">
      <w:pPr>
        <w:pStyle w:val="FootnoteText"/>
      </w:pPr>
      <w:hyperlink r:id="rId2" w:history="1">
        <w:r w:rsidR="00604862" w:rsidRPr="00A42C04">
          <w:rPr>
            <w:rStyle w:val="Hyperlink"/>
            <w:color w:val="auto"/>
            <w:u w:val="none"/>
            <w:vertAlign w:val="superscript"/>
          </w:rPr>
          <w:footnoteRef/>
        </w:r>
        <w:r w:rsidR="00604862" w:rsidRPr="00A42C04">
          <w:rPr>
            <w:rStyle w:val="Hyperlink"/>
            <w:color w:val="auto"/>
            <w:u w:val="none"/>
          </w:rPr>
          <w:t xml:space="preserve"> </w:t>
        </w:r>
      </w:hyperlink>
      <w:hyperlink r:id="rId3" w:history="1">
        <w:r w:rsidR="005660A4" w:rsidRPr="00A42C04">
          <w:rPr>
            <w:rStyle w:val="Hyperlink"/>
            <w:color w:val="000000"/>
            <w:u w:val="none"/>
            <w:shd w:val="clear" w:color="auto" w:fill="FFFFFF"/>
          </w:rPr>
          <w:t>N.Y. Exec. Law § 508</w:t>
        </w:r>
      </w:hyperlink>
      <w:r w:rsidR="005660A4" w:rsidRPr="00A42C04">
        <w:rPr>
          <w:color w:val="000000"/>
        </w:rPr>
        <w:t xml:space="preserve">, </w:t>
      </w:r>
      <w:r w:rsidR="005660A4" w:rsidRPr="00A42C04">
        <w:rPr>
          <w:i/>
          <w:iCs/>
          <w:color w:val="000000"/>
        </w:rPr>
        <w:t>amended by</w:t>
      </w:r>
      <w:r w:rsidR="005660A4" w:rsidRPr="00A42C04">
        <w:rPr>
          <w:color w:val="000000"/>
        </w:rPr>
        <w:t xml:space="preserve"> 2020 N.Y. SB 7505(g).</w:t>
      </w:r>
      <w:r w:rsidR="005660A4">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BA4"/>
    <w:multiLevelType w:val="hybridMultilevel"/>
    <w:tmpl w:val="92E6EBCA"/>
    <w:lvl w:ilvl="0" w:tplc="DAC2F44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230B"/>
    <w:multiLevelType w:val="hybridMultilevel"/>
    <w:tmpl w:val="46FECD0C"/>
    <w:lvl w:ilvl="0" w:tplc="DAC2F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12C8"/>
    <w:multiLevelType w:val="hybridMultilevel"/>
    <w:tmpl w:val="6F0822EE"/>
    <w:lvl w:ilvl="0" w:tplc="DAC2F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57A6A"/>
    <w:multiLevelType w:val="hybridMultilevel"/>
    <w:tmpl w:val="0CDCAD9A"/>
    <w:lvl w:ilvl="0" w:tplc="DAC2F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D3E99"/>
    <w:multiLevelType w:val="hybridMultilevel"/>
    <w:tmpl w:val="032869E0"/>
    <w:lvl w:ilvl="0" w:tplc="DAC2F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867B0"/>
    <w:multiLevelType w:val="hybridMultilevel"/>
    <w:tmpl w:val="41803AFC"/>
    <w:lvl w:ilvl="0" w:tplc="DAC2F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40CDE"/>
    <w:multiLevelType w:val="hybridMultilevel"/>
    <w:tmpl w:val="B0EE4D1E"/>
    <w:lvl w:ilvl="0" w:tplc="DAC2F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85CBE"/>
    <w:multiLevelType w:val="hybridMultilevel"/>
    <w:tmpl w:val="6E1A6098"/>
    <w:lvl w:ilvl="0" w:tplc="DAC2F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F4BEA"/>
    <w:multiLevelType w:val="hybridMultilevel"/>
    <w:tmpl w:val="14DA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A4A4D"/>
    <w:multiLevelType w:val="hybridMultilevel"/>
    <w:tmpl w:val="84380248"/>
    <w:lvl w:ilvl="0" w:tplc="DAC2F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134B5"/>
    <w:multiLevelType w:val="hybridMultilevel"/>
    <w:tmpl w:val="6D389FAE"/>
    <w:lvl w:ilvl="0" w:tplc="DAC2F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0"/>
  </w:num>
  <w:num w:numId="6">
    <w:abstractNumId w:val="6"/>
  </w:num>
  <w:num w:numId="7">
    <w:abstractNumId w:val="2"/>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53"/>
    <w:rsid w:val="00011F91"/>
    <w:rsid w:val="000D7306"/>
    <w:rsid w:val="001042C2"/>
    <w:rsid w:val="001C07F2"/>
    <w:rsid w:val="002A5797"/>
    <w:rsid w:val="002B0BD5"/>
    <w:rsid w:val="003B6C9E"/>
    <w:rsid w:val="003D66C6"/>
    <w:rsid w:val="003E1DFB"/>
    <w:rsid w:val="004C20A8"/>
    <w:rsid w:val="005660A4"/>
    <w:rsid w:val="00582A7B"/>
    <w:rsid w:val="005B2770"/>
    <w:rsid w:val="005B59C5"/>
    <w:rsid w:val="00604862"/>
    <w:rsid w:val="006439BB"/>
    <w:rsid w:val="006A3EF7"/>
    <w:rsid w:val="0074689D"/>
    <w:rsid w:val="0079725F"/>
    <w:rsid w:val="007E2D2F"/>
    <w:rsid w:val="00810153"/>
    <w:rsid w:val="008475C9"/>
    <w:rsid w:val="008C60A2"/>
    <w:rsid w:val="008D2CB2"/>
    <w:rsid w:val="00955F52"/>
    <w:rsid w:val="009C38F6"/>
    <w:rsid w:val="009C6BA2"/>
    <w:rsid w:val="00A066CB"/>
    <w:rsid w:val="00A42C04"/>
    <w:rsid w:val="00AD18EA"/>
    <w:rsid w:val="00AD3E60"/>
    <w:rsid w:val="00C415C0"/>
    <w:rsid w:val="00D24C81"/>
    <w:rsid w:val="00D76B7C"/>
    <w:rsid w:val="00D80625"/>
    <w:rsid w:val="00DD3EE7"/>
    <w:rsid w:val="00EC4F56"/>
    <w:rsid w:val="00F314AA"/>
    <w:rsid w:val="00FB51AF"/>
    <w:rsid w:val="00FC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BCDBE"/>
  <w15:docId w15:val="{D9F302C3-CE5F-41C6-93FB-251B8110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55F52"/>
    <w:pPr>
      <w:tabs>
        <w:tab w:val="center" w:pos="4680"/>
        <w:tab w:val="right" w:pos="9360"/>
      </w:tabs>
      <w:spacing w:line="240" w:lineRule="auto"/>
    </w:pPr>
  </w:style>
  <w:style w:type="character" w:customStyle="1" w:styleId="HeaderChar">
    <w:name w:val="Header Char"/>
    <w:basedOn w:val="DefaultParagraphFont"/>
    <w:link w:val="Header"/>
    <w:uiPriority w:val="99"/>
    <w:rsid w:val="00955F52"/>
  </w:style>
  <w:style w:type="paragraph" w:styleId="Footer">
    <w:name w:val="footer"/>
    <w:basedOn w:val="Normal"/>
    <w:link w:val="FooterChar"/>
    <w:uiPriority w:val="99"/>
    <w:unhideWhenUsed/>
    <w:rsid w:val="00955F52"/>
    <w:pPr>
      <w:tabs>
        <w:tab w:val="center" w:pos="4680"/>
        <w:tab w:val="right" w:pos="9360"/>
      </w:tabs>
      <w:spacing w:line="240" w:lineRule="auto"/>
    </w:pPr>
  </w:style>
  <w:style w:type="character" w:customStyle="1" w:styleId="FooterChar">
    <w:name w:val="Footer Char"/>
    <w:basedOn w:val="DefaultParagraphFont"/>
    <w:link w:val="Footer"/>
    <w:uiPriority w:val="99"/>
    <w:rsid w:val="00955F52"/>
  </w:style>
  <w:style w:type="paragraph" w:styleId="ListParagraph">
    <w:name w:val="List Paragraph"/>
    <w:basedOn w:val="Normal"/>
    <w:uiPriority w:val="34"/>
    <w:qFormat/>
    <w:rsid w:val="00011F91"/>
    <w:pPr>
      <w:ind w:left="720"/>
      <w:contextualSpacing/>
    </w:pPr>
  </w:style>
  <w:style w:type="paragraph" w:styleId="BalloonText">
    <w:name w:val="Balloon Text"/>
    <w:basedOn w:val="Normal"/>
    <w:link w:val="BalloonTextChar"/>
    <w:uiPriority w:val="99"/>
    <w:semiHidden/>
    <w:unhideWhenUsed/>
    <w:rsid w:val="009C6B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A2"/>
    <w:rPr>
      <w:rFonts w:ascii="Segoe UI" w:hAnsi="Segoe UI" w:cs="Segoe UI"/>
      <w:sz w:val="18"/>
      <w:szCs w:val="18"/>
    </w:rPr>
  </w:style>
  <w:style w:type="character" w:styleId="CommentReference">
    <w:name w:val="annotation reference"/>
    <w:basedOn w:val="DefaultParagraphFont"/>
    <w:uiPriority w:val="99"/>
    <w:semiHidden/>
    <w:unhideWhenUsed/>
    <w:rsid w:val="0074689D"/>
    <w:rPr>
      <w:sz w:val="16"/>
      <w:szCs w:val="16"/>
    </w:rPr>
  </w:style>
  <w:style w:type="paragraph" w:styleId="CommentText">
    <w:name w:val="annotation text"/>
    <w:basedOn w:val="Normal"/>
    <w:link w:val="CommentTextChar"/>
    <w:uiPriority w:val="99"/>
    <w:semiHidden/>
    <w:unhideWhenUsed/>
    <w:rsid w:val="0074689D"/>
    <w:pPr>
      <w:spacing w:line="240" w:lineRule="auto"/>
    </w:pPr>
    <w:rPr>
      <w:sz w:val="20"/>
      <w:szCs w:val="20"/>
    </w:rPr>
  </w:style>
  <w:style w:type="character" w:customStyle="1" w:styleId="CommentTextChar">
    <w:name w:val="Comment Text Char"/>
    <w:basedOn w:val="DefaultParagraphFont"/>
    <w:link w:val="CommentText"/>
    <w:uiPriority w:val="99"/>
    <w:semiHidden/>
    <w:rsid w:val="0074689D"/>
    <w:rPr>
      <w:sz w:val="20"/>
      <w:szCs w:val="20"/>
    </w:rPr>
  </w:style>
  <w:style w:type="paragraph" w:styleId="CommentSubject">
    <w:name w:val="annotation subject"/>
    <w:basedOn w:val="CommentText"/>
    <w:next w:val="CommentText"/>
    <w:link w:val="CommentSubjectChar"/>
    <w:uiPriority w:val="99"/>
    <w:semiHidden/>
    <w:unhideWhenUsed/>
    <w:rsid w:val="0074689D"/>
    <w:rPr>
      <w:b/>
      <w:bCs/>
    </w:rPr>
  </w:style>
  <w:style w:type="character" w:customStyle="1" w:styleId="CommentSubjectChar">
    <w:name w:val="Comment Subject Char"/>
    <w:basedOn w:val="CommentTextChar"/>
    <w:link w:val="CommentSubject"/>
    <w:uiPriority w:val="99"/>
    <w:semiHidden/>
    <w:rsid w:val="0074689D"/>
    <w:rPr>
      <w:b/>
      <w:bCs/>
      <w:sz w:val="20"/>
      <w:szCs w:val="20"/>
    </w:rPr>
  </w:style>
  <w:style w:type="character" w:styleId="Hyperlink">
    <w:name w:val="Hyperlink"/>
    <w:basedOn w:val="DefaultParagraphFont"/>
    <w:uiPriority w:val="99"/>
    <w:unhideWhenUsed/>
    <w:rsid w:val="00AD3E60"/>
    <w:rPr>
      <w:color w:val="0000FF"/>
      <w:u w:val="single"/>
    </w:rPr>
  </w:style>
  <w:style w:type="character" w:styleId="FollowedHyperlink">
    <w:name w:val="FollowedHyperlink"/>
    <w:basedOn w:val="DefaultParagraphFont"/>
    <w:uiPriority w:val="99"/>
    <w:semiHidden/>
    <w:unhideWhenUsed/>
    <w:rsid w:val="00AD3E60"/>
    <w:rPr>
      <w:color w:val="919191" w:themeColor="followedHyperlink"/>
      <w:u w:val="single"/>
    </w:rPr>
  </w:style>
  <w:style w:type="character" w:styleId="UnresolvedMention">
    <w:name w:val="Unresolved Mention"/>
    <w:basedOn w:val="DefaultParagraphFont"/>
    <w:uiPriority w:val="99"/>
    <w:semiHidden/>
    <w:unhideWhenUsed/>
    <w:rsid w:val="00AD18EA"/>
    <w:rPr>
      <w:color w:val="605E5C"/>
      <w:shd w:val="clear" w:color="auto" w:fill="E1DFDD"/>
    </w:rPr>
  </w:style>
  <w:style w:type="paragraph" w:styleId="FootnoteText">
    <w:name w:val="footnote text"/>
    <w:basedOn w:val="Normal"/>
    <w:link w:val="FootnoteTextChar"/>
    <w:uiPriority w:val="99"/>
    <w:semiHidden/>
    <w:unhideWhenUsed/>
    <w:rsid w:val="009C38F6"/>
    <w:pPr>
      <w:spacing w:line="240" w:lineRule="auto"/>
    </w:pPr>
    <w:rPr>
      <w:sz w:val="20"/>
      <w:szCs w:val="20"/>
    </w:rPr>
  </w:style>
  <w:style w:type="character" w:customStyle="1" w:styleId="FootnoteTextChar">
    <w:name w:val="Footnote Text Char"/>
    <w:basedOn w:val="DefaultParagraphFont"/>
    <w:link w:val="FootnoteText"/>
    <w:uiPriority w:val="99"/>
    <w:semiHidden/>
    <w:rsid w:val="009C38F6"/>
    <w:rPr>
      <w:sz w:val="20"/>
      <w:szCs w:val="20"/>
    </w:rPr>
  </w:style>
  <w:style w:type="character" w:styleId="FootnoteReference">
    <w:name w:val="footnote reference"/>
    <w:basedOn w:val="DefaultParagraphFont"/>
    <w:uiPriority w:val="99"/>
    <w:semiHidden/>
    <w:unhideWhenUsed/>
    <w:rsid w:val="009C3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minaljustice.ny.gov/crimnet/ojsa/NYS-RTA-Task-Force-First-Report.pdf" TargetMode="External"/><Relationship Id="rId5" Type="http://schemas.openxmlformats.org/officeDocument/2006/relationships/webSettings" Target="webSettings.xml"/><Relationship Id="rId10" Type="http://schemas.openxmlformats.org/officeDocument/2006/relationships/hyperlink" Target="https://www.governor.ny.gov/news/governor-cuomo-announces-raise-age-implementation-task-force" TargetMode="External"/><Relationship Id="rId4" Type="http://schemas.openxmlformats.org/officeDocument/2006/relationships/settings" Target="settings.xml"/><Relationship Id="rId9" Type="http://schemas.openxmlformats.org/officeDocument/2006/relationships/hyperlink" Target="http://www.nycourts.gov/courthelp/Criminal/sealedAfter10years.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dvance.lexis.com/api/document/collection/statutes-legislation/id/5YSP-XN33-CH1B-T3WP-00000-00?cite=NY%20CLS%20Exec%20%C2%A7%20508&amp;context=1000516" TargetMode="External"/><Relationship Id="rId2" Type="http://schemas.openxmlformats.org/officeDocument/2006/relationships/hyperlink" Target="https://advance.lexis.com/api/document/collection/statutes-legislation/id/5YRD-KFV1-K0BB-S3WW-00000-00?cite=2020%20N.Y.%20ALS%2055%2C%202020%20N.Y.%20Laws%2055%2C%202020%20N.Y.%20Ch.%2055%2C%202020%20N.Y.%20SB%207505&amp;context=1000516" TargetMode="External"/><Relationship Id="rId1" Type="http://schemas.openxmlformats.org/officeDocument/2006/relationships/hyperlink" Target="https://advance.lexis.com/api/document/collection/statutes-legislation/id/5WYR-PR81-JW09-M07J-00000-00?cite=2019%20N.Y.%20ALS%20240%2C%202019%20N.Y.%20Laws%20240%2C%202019%20N.Y.%20Ch.%20240%2C%202019%20N.Y.%20SB%206550&amp;context=1000516"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88BA-8F04-4092-B55F-03155E6B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2020-07-13T20:16:00Z</dcterms:created>
  <dcterms:modified xsi:type="dcterms:W3CDTF">2020-07-13T20:16:00Z</dcterms:modified>
</cp:coreProperties>
</file>